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69B7E" w14:textId="2FD1535E" w:rsidR="00632F5A" w:rsidRPr="00632F5A" w:rsidRDefault="00632F5A" w:rsidP="00632F5A">
      <w:pPr>
        <w:jc w:val="center"/>
        <w:rPr>
          <w:rFonts w:ascii="Book Antiqua" w:hAnsi="Book Antiqua"/>
          <w:b/>
          <w:bCs/>
          <w:sz w:val="32"/>
          <w:szCs w:val="32"/>
        </w:rPr>
      </w:pPr>
      <w:r w:rsidRPr="00632F5A">
        <w:rPr>
          <w:rFonts w:ascii="Book Antiqua" w:hAnsi="Book Antiqua"/>
          <w:b/>
          <w:bCs/>
          <w:sz w:val="32"/>
          <w:szCs w:val="32"/>
        </w:rPr>
        <w:t>Updated Definition of Blindness</w:t>
      </w:r>
    </w:p>
    <w:p w14:paraId="71DB0A56" w14:textId="3DF05661" w:rsidR="00632F5A" w:rsidRPr="00632F5A" w:rsidRDefault="00632F5A" w:rsidP="00632F5A">
      <w:pPr>
        <w:jc w:val="center"/>
        <w:rPr>
          <w:b/>
          <w:bCs/>
          <w:sz w:val="28"/>
          <w:szCs w:val="28"/>
        </w:rPr>
      </w:pPr>
      <w:r>
        <w:rPr>
          <w:b/>
          <w:bCs/>
          <w:sz w:val="28"/>
          <w:szCs w:val="28"/>
        </w:rPr>
        <w:t>Beginning January 2024</w:t>
      </w:r>
    </w:p>
    <w:p w14:paraId="5EE8688B" w14:textId="77777777" w:rsidR="00632F5A" w:rsidRDefault="00632F5A" w:rsidP="00632F5A">
      <w:pPr>
        <w:rPr>
          <w:b/>
          <w:bCs/>
          <w:i/>
          <w:iCs/>
          <w:sz w:val="28"/>
          <w:szCs w:val="28"/>
        </w:rPr>
      </w:pPr>
    </w:p>
    <w:p w14:paraId="75F9C87C" w14:textId="29D80299" w:rsidR="00632F5A" w:rsidRPr="00632F5A" w:rsidRDefault="00632F5A" w:rsidP="00632F5A">
      <w:pPr>
        <w:rPr>
          <w:sz w:val="28"/>
          <w:szCs w:val="28"/>
        </w:rPr>
      </w:pPr>
      <w:r w:rsidRPr="00632F5A">
        <w:rPr>
          <w:b/>
          <w:bCs/>
          <w:i/>
          <w:iCs/>
          <w:sz w:val="28"/>
          <w:szCs w:val="28"/>
        </w:rPr>
        <w:t>Updated Definition of Blindness</w:t>
      </w:r>
      <w:r w:rsidRPr="00632F5A">
        <w:rPr>
          <w:i/>
          <w:iCs/>
          <w:sz w:val="28"/>
          <w:szCs w:val="28"/>
        </w:rPr>
        <w:t>:  Beginning in 2024, APH will institute a modified definition of blindness for the purpose of carrying out the Act to Promote the Education of the Blind. In the 2024 Census for students to be eligible for registration in the Federal Quota Program, they </w:t>
      </w:r>
      <w:r w:rsidRPr="00632F5A">
        <w:rPr>
          <w:i/>
          <w:iCs/>
          <w:sz w:val="28"/>
          <w:szCs w:val="28"/>
          <w:u w:val="single"/>
        </w:rPr>
        <w:t>MUST</w:t>
      </w:r>
      <w:r w:rsidRPr="00632F5A">
        <w:rPr>
          <w:i/>
          <w:iCs/>
          <w:sz w:val="28"/>
          <w:szCs w:val="28"/>
        </w:rPr>
        <w:t> meet the following criteria:</w:t>
      </w:r>
    </w:p>
    <w:p w14:paraId="0A8D2739" w14:textId="77777777" w:rsidR="00632F5A" w:rsidRPr="00632F5A" w:rsidRDefault="00632F5A" w:rsidP="00632F5A">
      <w:pPr>
        <w:numPr>
          <w:ilvl w:val="0"/>
          <w:numId w:val="1"/>
        </w:numPr>
        <w:tabs>
          <w:tab w:val="left" w:pos="720"/>
        </w:tabs>
        <w:rPr>
          <w:sz w:val="28"/>
          <w:szCs w:val="28"/>
        </w:rPr>
      </w:pPr>
      <w:r w:rsidRPr="00632F5A">
        <w:rPr>
          <w:i/>
          <w:iCs/>
          <w:sz w:val="28"/>
          <w:szCs w:val="28"/>
        </w:rPr>
        <w:t>Meet the definition of blindness (MDB)—a central visual acuity of 20/200 or less (using a Snellen chart or an acuity determined in Snellen equivalents) in the better eye with the best correction or a peripheral field of vision no greater than 20 degrees. OR...</w:t>
      </w:r>
    </w:p>
    <w:p w14:paraId="64267804" w14:textId="77777777" w:rsidR="00632F5A" w:rsidRPr="00632F5A" w:rsidRDefault="00632F5A" w:rsidP="00632F5A">
      <w:pPr>
        <w:numPr>
          <w:ilvl w:val="0"/>
          <w:numId w:val="1"/>
        </w:numPr>
        <w:tabs>
          <w:tab w:val="left" w:pos="720"/>
        </w:tabs>
        <w:rPr>
          <w:sz w:val="28"/>
          <w:szCs w:val="28"/>
        </w:rPr>
      </w:pPr>
      <w:r w:rsidRPr="00632F5A">
        <w:rPr>
          <w:i/>
          <w:iCs/>
          <w:sz w:val="28"/>
          <w:szCs w:val="28"/>
        </w:rPr>
        <w:t>Function at the definition of blindness (FDB)—when visual function meets the definition of blindness as determined by an eye care specialist (ophthalmologist or optometrist) or a medical doctor such as a neurologist. Students in this category manifest unique visual characteristics often found in conditions referred to as neurological, cortical, or cerebral visual impairment (e.g., brain injury or dysfunction). OR...</w:t>
      </w:r>
    </w:p>
    <w:p w14:paraId="32D72824" w14:textId="77777777" w:rsidR="00632F5A" w:rsidRPr="00632F5A" w:rsidRDefault="00632F5A" w:rsidP="00632F5A">
      <w:pPr>
        <w:numPr>
          <w:ilvl w:val="0"/>
          <w:numId w:val="1"/>
        </w:numPr>
        <w:tabs>
          <w:tab w:val="left" w:pos="720"/>
        </w:tabs>
        <w:rPr>
          <w:sz w:val="28"/>
          <w:szCs w:val="28"/>
        </w:rPr>
      </w:pPr>
      <w:r w:rsidRPr="00632F5A">
        <w:rPr>
          <w:b/>
          <w:bCs/>
          <w:i/>
          <w:iCs/>
          <w:sz w:val="28"/>
          <w:szCs w:val="28"/>
        </w:rPr>
        <w:t>IF NEITHER are met, students may also be eligible because they: qualify under the Individuals with Disabilities Education Act (IDEA) definition of blindness: an impairment in vision, that, even with correction, adversely affects a child’s educational performance </w:t>
      </w:r>
      <w:hyperlink r:id="rId7" w:history="1">
        <w:r w:rsidRPr="00632F5A">
          <w:rPr>
            <w:rStyle w:val="Hyperlink"/>
            <w:b/>
            <w:bCs/>
            <w:i/>
            <w:iCs/>
            <w:sz w:val="28"/>
            <w:szCs w:val="28"/>
          </w:rPr>
          <w:t>(34 CFR§300.8(c)(13))</w:t>
        </w:r>
      </w:hyperlink>
      <w:r w:rsidRPr="00632F5A">
        <w:rPr>
          <w:b/>
          <w:bCs/>
          <w:i/>
          <w:iCs/>
          <w:sz w:val="28"/>
          <w:szCs w:val="28"/>
        </w:rPr>
        <w:t>.</w:t>
      </w:r>
    </w:p>
    <w:p w14:paraId="6098FF87" w14:textId="14E916DA" w:rsidR="00752677" w:rsidRPr="00632F5A" w:rsidRDefault="00632F5A" w:rsidP="00632F5A">
      <w:pPr>
        <w:numPr>
          <w:ilvl w:val="0"/>
          <w:numId w:val="1"/>
        </w:numPr>
        <w:tabs>
          <w:tab w:val="left" w:pos="720"/>
        </w:tabs>
        <w:rPr>
          <w:sz w:val="28"/>
          <w:szCs w:val="28"/>
        </w:rPr>
      </w:pPr>
      <w:r w:rsidRPr="00632F5A">
        <w:rPr>
          <w:i/>
          <w:iCs/>
          <w:sz w:val="28"/>
          <w:szCs w:val="28"/>
        </w:rPr>
        <w:t>Be enrolled in a formally organized public or private, nonprofit educational program of less than college level (educational programs include public, private, and parochial schools as well as vocational and rehabilitation programs for adults) and have a written education plan. School-aged students (including infants, toddlers, preschool, homebound, home- schooled students) must be enrolled with the registering school or agency on the first Monday in January. Adult students must be registered for at least 120 hours of educational instruction during the preceding calendar year.</w:t>
      </w:r>
    </w:p>
    <w:sectPr w:rsidR="00752677" w:rsidRPr="00632F5A" w:rsidSect="00632F5A">
      <w:pgSz w:w="12240" w:h="15840"/>
      <w:pgMar w:top="1440" w:right="1440" w:bottom="1440" w:left="1440" w:header="720" w:footer="720" w:gutter="0"/>
      <w:pgBorders w:offsetFrom="page">
        <w:top w:val="checkered" w:sz="10" w:space="24" w:color="00B0F0"/>
        <w:left w:val="checkered" w:sz="10" w:space="24" w:color="00B0F0"/>
        <w:bottom w:val="checkered" w:sz="10" w:space="24" w:color="00B0F0"/>
        <w:right w:val="checkered" w:sz="10"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58B7C" w14:textId="77777777" w:rsidR="00632F5A" w:rsidRDefault="00632F5A" w:rsidP="00632F5A">
      <w:pPr>
        <w:spacing w:after="0" w:line="240" w:lineRule="auto"/>
      </w:pPr>
      <w:r>
        <w:separator/>
      </w:r>
    </w:p>
  </w:endnote>
  <w:endnote w:type="continuationSeparator" w:id="0">
    <w:p w14:paraId="19A19BCD" w14:textId="77777777" w:rsidR="00632F5A" w:rsidRDefault="00632F5A" w:rsidP="00632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4E459" w14:textId="77777777" w:rsidR="00632F5A" w:rsidRDefault="00632F5A" w:rsidP="00632F5A">
      <w:pPr>
        <w:spacing w:after="0" w:line="240" w:lineRule="auto"/>
      </w:pPr>
      <w:r>
        <w:separator/>
      </w:r>
    </w:p>
  </w:footnote>
  <w:footnote w:type="continuationSeparator" w:id="0">
    <w:p w14:paraId="0877F96C" w14:textId="77777777" w:rsidR="00632F5A" w:rsidRDefault="00632F5A" w:rsidP="00632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DC2"/>
    <w:multiLevelType w:val="hybridMultilevel"/>
    <w:tmpl w:val="10282FBA"/>
    <w:lvl w:ilvl="0" w:tplc="749604BA">
      <w:start w:val="1"/>
      <w:numFmt w:val="bullet"/>
      <w:lvlText w:val=""/>
      <w:lvlJc w:val="left"/>
      <w:pPr>
        <w:tabs>
          <w:tab w:val="num" w:pos="720"/>
        </w:tabs>
        <w:ind w:left="720" w:hanging="360"/>
      </w:pPr>
      <w:rPr>
        <w:rFonts w:ascii="Symbol" w:hAnsi="Symbol" w:hint="default"/>
      </w:rPr>
    </w:lvl>
    <w:lvl w:ilvl="1" w:tplc="C0FC0C0C" w:tentative="1">
      <w:start w:val="1"/>
      <w:numFmt w:val="bullet"/>
      <w:lvlText w:val=""/>
      <w:lvlJc w:val="left"/>
      <w:pPr>
        <w:tabs>
          <w:tab w:val="num" w:pos="1440"/>
        </w:tabs>
        <w:ind w:left="1440" w:hanging="360"/>
      </w:pPr>
      <w:rPr>
        <w:rFonts w:ascii="Symbol" w:hAnsi="Symbol" w:hint="default"/>
      </w:rPr>
    </w:lvl>
    <w:lvl w:ilvl="2" w:tplc="652A7D7C" w:tentative="1">
      <w:start w:val="1"/>
      <w:numFmt w:val="bullet"/>
      <w:lvlText w:val=""/>
      <w:lvlJc w:val="left"/>
      <w:pPr>
        <w:tabs>
          <w:tab w:val="num" w:pos="2160"/>
        </w:tabs>
        <w:ind w:left="2160" w:hanging="360"/>
      </w:pPr>
      <w:rPr>
        <w:rFonts w:ascii="Symbol" w:hAnsi="Symbol" w:hint="default"/>
      </w:rPr>
    </w:lvl>
    <w:lvl w:ilvl="3" w:tplc="6F22C70A" w:tentative="1">
      <w:start w:val="1"/>
      <w:numFmt w:val="bullet"/>
      <w:lvlText w:val=""/>
      <w:lvlJc w:val="left"/>
      <w:pPr>
        <w:tabs>
          <w:tab w:val="num" w:pos="2880"/>
        </w:tabs>
        <w:ind w:left="2880" w:hanging="360"/>
      </w:pPr>
      <w:rPr>
        <w:rFonts w:ascii="Symbol" w:hAnsi="Symbol" w:hint="default"/>
      </w:rPr>
    </w:lvl>
    <w:lvl w:ilvl="4" w:tplc="4DA66ED8" w:tentative="1">
      <w:start w:val="1"/>
      <w:numFmt w:val="bullet"/>
      <w:lvlText w:val=""/>
      <w:lvlJc w:val="left"/>
      <w:pPr>
        <w:tabs>
          <w:tab w:val="num" w:pos="3600"/>
        </w:tabs>
        <w:ind w:left="3600" w:hanging="360"/>
      </w:pPr>
      <w:rPr>
        <w:rFonts w:ascii="Symbol" w:hAnsi="Symbol" w:hint="default"/>
      </w:rPr>
    </w:lvl>
    <w:lvl w:ilvl="5" w:tplc="EDAED558" w:tentative="1">
      <w:start w:val="1"/>
      <w:numFmt w:val="bullet"/>
      <w:lvlText w:val=""/>
      <w:lvlJc w:val="left"/>
      <w:pPr>
        <w:tabs>
          <w:tab w:val="num" w:pos="4320"/>
        </w:tabs>
        <w:ind w:left="4320" w:hanging="360"/>
      </w:pPr>
      <w:rPr>
        <w:rFonts w:ascii="Symbol" w:hAnsi="Symbol" w:hint="default"/>
      </w:rPr>
    </w:lvl>
    <w:lvl w:ilvl="6" w:tplc="17824F5E" w:tentative="1">
      <w:start w:val="1"/>
      <w:numFmt w:val="bullet"/>
      <w:lvlText w:val=""/>
      <w:lvlJc w:val="left"/>
      <w:pPr>
        <w:tabs>
          <w:tab w:val="num" w:pos="5040"/>
        </w:tabs>
        <w:ind w:left="5040" w:hanging="360"/>
      </w:pPr>
      <w:rPr>
        <w:rFonts w:ascii="Symbol" w:hAnsi="Symbol" w:hint="default"/>
      </w:rPr>
    </w:lvl>
    <w:lvl w:ilvl="7" w:tplc="395267F4" w:tentative="1">
      <w:start w:val="1"/>
      <w:numFmt w:val="bullet"/>
      <w:lvlText w:val=""/>
      <w:lvlJc w:val="left"/>
      <w:pPr>
        <w:tabs>
          <w:tab w:val="num" w:pos="5760"/>
        </w:tabs>
        <w:ind w:left="5760" w:hanging="360"/>
      </w:pPr>
      <w:rPr>
        <w:rFonts w:ascii="Symbol" w:hAnsi="Symbol" w:hint="default"/>
      </w:rPr>
    </w:lvl>
    <w:lvl w:ilvl="8" w:tplc="9C7242DC" w:tentative="1">
      <w:start w:val="1"/>
      <w:numFmt w:val="bullet"/>
      <w:lvlText w:val=""/>
      <w:lvlJc w:val="left"/>
      <w:pPr>
        <w:tabs>
          <w:tab w:val="num" w:pos="6480"/>
        </w:tabs>
        <w:ind w:left="6480" w:hanging="360"/>
      </w:pPr>
      <w:rPr>
        <w:rFonts w:ascii="Symbol" w:hAnsi="Symbol" w:hint="default"/>
      </w:rPr>
    </w:lvl>
  </w:abstractNum>
  <w:num w:numId="1" w16cid:durableId="512063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64"/>
    <w:rsid w:val="004039E6"/>
    <w:rsid w:val="00632F5A"/>
    <w:rsid w:val="00752677"/>
    <w:rsid w:val="008E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343D9"/>
  <w15:chartTrackingRefBased/>
  <w15:docId w15:val="{A16F89D8-36D9-4315-94EA-C20F33B1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F5A"/>
    <w:rPr>
      <w:color w:val="0563C1" w:themeColor="hyperlink"/>
      <w:u w:val="single"/>
    </w:rPr>
  </w:style>
  <w:style w:type="character" w:styleId="UnresolvedMention">
    <w:name w:val="Unresolved Mention"/>
    <w:basedOn w:val="DefaultParagraphFont"/>
    <w:uiPriority w:val="99"/>
    <w:semiHidden/>
    <w:unhideWhenUsed/>
    <w:rsid w:val="00632F5A"/>
    <w:rPr>
      <w:color w:val="605E5C"/>
      <w:shd w:val="clear" w:color="auto" w:fill="E1DFDD"/>
    </w:rPr>
  </w:style>
  <w:style w:type="paragraph" w:styleId="Header">
    <w:name w:val="header"/>
    <w:basedOn w:val="Normal"/>
    <w:link w:val="HeaderChar"/>
    <w:uiPriority w:val="99"/>
    <w:unhideWhenUsed/>
    <w:rsid w:val="00632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F5A"/>
  </w:style>
  <w:style w:type="paragraph" w:styleId="Footer">
    <w:name w:val="footer"/>
    <w:basedOn w:val="Normal"/>
    <w:link w:val="FooterChar"/>
    <w:uiPriority w:val="99"/>
    <w:unhideWhenUsed/>
    <w:rsid w:val="00632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199048">
      <w:bodyDiv w:val="1"/>
      <w:marLeft w:val="0"/>
      <w:marRight w:val="0"/>
      <w:marTop w:val="0"/>
      <w:marBottom w:val="0"/>
      <w:divBdr>
        <w:top w:val="none" w:sz="0" w:space="0" w:color="auto"/>
        <w:left w:val="none" w:sz="0" w:space="0" w:color="auto"/>
        <w:bottom w:val="none" w:sz="0" w:space="0" w:color="auto"/>
        <w:right w:val="none" w:sz="0" w:space="0" w:color="auto"/>
      </w:divBdr>
      <w:divsChild>
        <w:div w:id="1030836938">
          <w:marLeft w:val="547"/>
          <w:marRight w:val="0"/>
          <w:marTop w:val="0"/>
          <w:marBottom w:val="0"/>
          <w:divBdr>
            <w:top w:val="none" w:sz="0" w:space="0" w:color="auto"/>
            <w:left w:val="none" w:sz="0" w:space="0" w:color="auto"/>
            <w:bottom w:val="none" w:sz="0" w:space="0" w:color="auto"/>
            <w:right w:val="none" w:sz="0" w:space="0" w:color="auto"/>
          </w:divBdr>
        </w:div>
        <w:div w:id="1677687987">
          <w:marLeft w:val="547"/>
          <w:marRight w:val="0"/>
          <w:marTop w:val="0"/>
          <w:marBottom w:val="0"/>
          <w:divBdr>
            <w:top w:val="none" w:sz="0" w:space="0" w:color="auto"/>
            <w:left w:val="none" w:sz="0" w:space="0" w:color="auto"/>
            <w:bottom w:val="none" w:sz="0" w:space="0" w:color="auto"/>
            <w:right w:val="none" w:sz="0" w:space="0" w:color="auto"/>
          </w:divBdr>
        </w:div>
        <w:div w:id="710886890">
          <w:marLeft w:val="547"/>
          <w:marRight w:val="0"/>
          <w:marTop w:val="0"/>
          <w:marBottom w:val="0"/>
          <w:divBdr>
            <w:top w:val="none" w:sz="0" w:space="0" w:color="auto"/>
            <w:left w:val="none" w:sz="0" w:space="0" w:color="auto"/>
            <w:bottom w:val="none" w:sz="0" w:space="0" w:color="auto"/>
            <w:right w:val="none" w:sz="0" w:space="0" w:color="auto"/>
          </w:divBdr>
        </w:div>
        <w:div w:id="12847680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ed.gov/idea/regs/b/a/300.8/c/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Goen</dc:creator>
  <cp:keywords/>
  <dc:description/>
  <cp:lastModifiedBy>Deanne Goen</cp:lastModifiedBy>
  <cp:revision>2</cp:revision>
  <cp:lastPrinted>2024-04-17T17:45:00Z</cp:lastPrinted>
  <dcterms:created xsi:type="dcterms:W3CDTF">2024-04-17T17:41:00Z</dcterms:created>
  <dcterms:modified xsi:type="dcterms:W3CDTF">2024-04-17T17:49:00Z</dcterms:modified>
</cp:coreProperties>
</file>